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https://holzdach.bitbucket.io/dachgeschossausbauessen/blog/dachgeschossausbau-als-kapitalanlage-essen-mietrendite-eigenanteil-steuern/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essen/blog/dachgeschossausbau-als-kapitalanlage-essen-mietrendite-eigenanteil-steue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